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SimHei" w:hAnsi="SimHei" w:eastAsia="黑体"/>
          <w:b/>
          <w:sz w:val="44"/>
        </w:rPr>
        <w:t>当历史不再等待因果</w:t>
      </w:r>
    </w:p>
    <w:p>
      <w:pPr>
        <w:spacing w:before="360" w:after="160"/>
      </w:pPr>
      <w:r>
        <w:rPr>
          <w:rFonts w:ascii="SimHei" w:hAnsi="SimHei" w:eastAsia="黑体"/>
          <w:b/>
          <w:sz w:val="32"/>
        </w:rPr>
        <w:t>——《编年史》第一、二卷导读</w:t>
      </w:r>
    </w:p>
    <w:p>
      <w:pPr>
        <w:spacing w:after="80"/>
        <w:ind w:left="720"/>
      </w:pPr>
      <w:r>
        <w:rPr>
          <w:rFonts w:ascii="SimSun" w:hAnsi="SimSun" w:eastAsia="宋体"/>
          <w:b w:val="0"/>
          <w:color w:val="666666"/>
          <w:sz w:val="22"/>
        </w:rPr>
        <w:t>"究天人之际，通古今之变，成一家之言。"——司马迁《报任安书》</w:t>
      </w:r>
    </w:p>
    <w:p>
      <w:pPr>
        <w:spacing w:after="80"/>
        <w:ind w:left="720"/>
      </w:pPr>
      <w:r>
        <w:rPr>
          <w:rFonts w:ascii="SimSun" w:hAnsi="SimSun" w:eastAsia="宋体"/>
          <w:b w:val="0"/>
          <w:color w:val="666666"/>
          <w:sz w:val="22"/>
        </w:rPr>
        <w:t>"历史会对我宽容，因为我打算亲自书写它。"——温斯顿·丘吉尔</w:t>
      </w:r>
    </w:p>
    <w:p>
      <w:pPr>
        <w:spacing w:before="360" w:after="160"/>
      </w:pPr>
      <w:r>
        <w:rPr>
          <w:rFonts w:ascii="SimHei" w:hAnsi="SimHei" w:eastAsia="黑体"/>
          <w:b/>
          <w:sz w:val="32"/>
        </w:rPr>
        <w:t>一、一部拒绝因果的历史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架空历史写作，通常遵循一套隐秘的契约：改变一个初始条件，然后用严密的因果链条，推演出一个自洽的"另一种可能"。作者如同全知的工程师，每一处偶然都被收编进必然，每一条伏线都体面地回收。读者获得的，是一种智识上的安慰：看，历史原来是讲道理的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《编年史》的第一个冒犯，就是撕毁这份契约。它不提供因果链，不提供全知视角，不提供结局。它只提供事件本身——赤裸的、断裂的、不讲道理的事件。这种写作姿态背后，是一句近乎史学宣言的判断：真实的历史，未必有因果可循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我们习惯了历史是有道理的。史家为它编年，哲人为它立论，小说家为它安排伏笔。可"道理"很可能是事后追认的。克罗齐说"一切历史都是当代史"，意指我们总用今天的逻辑去整理昨天；年鉴学派则警告，要警惕被"事件的泡沫"迷惑。这部作品走得更远：它干脆拆除了因果的脚手架，让事件赤裸地站立。可叹的是，这种赤裸恰恰是最难书写的——小说家恐惧空白，史家却知道，空白才是历史的底色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因此，这篇导读不复述情节，不剧透转折。它只谈这部作品的方法、文体与史观——这些，不读原书也能成立；读了原书，会看得更深。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这种冒犯是有对象的：它冒犯的是读者的认知舒适区。我们消费历史叙事，本质上是在消费秩序感——乱世的史书也要写出个"气数"，灾难的小说也要配个"救赎"。本书把秩序感收走，等于把读者推下深渊，逼他自己游。可叹的是，推人下深渊，恰恰是严肃写作最古老也最有效的待客之道：孔子"不愤不启"，苏格拉底以诘问为助产。让读者不舒服，是为了让他醒着。</w:t>
      </w:r>
    </w:p>
    <w:p>
      <w:pPr>
        <w:spacing w:before="360" w:after="160"/>
      </w:pPr>
      <w:r>
        <w:rPr>
          <w:rFonts w:ascii="SimHei" w:hAnsi="SimHei" w:eastAsia="黑体"/>
          <w:b/>
          <w:sz w:val="32"/>
        </w:rPr>
        <w:t>二、崩塌与重组：两卷的结构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两卷的时间跨度，是1965年2月至1967年春。第一卷处理"崩塌"：一个超级大国的迅速崩解，与旧世界秩序的解体。第二卷处理"重组"：崩解之后，世界如何重新学会运转——各国各自收拾残局，各自签订条约，各自过日子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这个结构本身就值得分析。传统叙事的结构是"危机—解决"：危机出现，主角行动，秩序恢复。而这两卷的结构是"崩塌—重组"：没有主角力挽狂澜，没有秩序的恢复，只有旧秩序的消失与新秩序的缓慢凝结。第一卷的节奏是加速度的，几个月内版图重绘；第二卷的节奏是绵延的，充满会议、援助与财政报告。这种从"加速度"到"绵延"的转调，是一种史学判断：决定历史走向的，从来不是惊天动地的那一刻，而是惊天动地之后，无数个需要处理公务的早晨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书中对"崩塌"的处理，尤其体现其史观。传统的帝国衰亡叙事——以保罗·肯尼迪《大国的兴衰》为代表——强调衰落是缓慢的、经济的、可预测的，如脏器一件件停摆。而本书呈现的崩塌，是一场急诊：发病、脑死亡、出殡，在极短时间内走完。这不是为了猎奇，而是为了逼近一个被体面叙事遮蔽的真相：历史的大多数转折，都是急诊，不是慢病。王朝的覆灭在史书里占几卷，真正动手的那一夜，可能只有几个时辰。我们习惯了"缓慢衰落"的叙事，只是因为史家需要因果，而猝死不给因果，只给结果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这种"猝死"在接受美学上构成一次筛选：能接受它的读者，留下；不能接受的，离场。没有中间地带。因为猝死取消了读者最熟悉的阅读快感——"看懂了"的快感。读完第一卷，读者可能比读之前更困惑：谁干的？为什么？然后呢？而这三个问题的答案，都是"不知道"。一部让读者"不知道"的作品，敢写，本身就是一种勇气。可叹，"不知道"恰恰是历史留给我们的最诚实的遗产。</w:t>
      </w:r>
    </w:p>
    <w:p>
      <w:pPr>
        <w:spacing w:before="360" w:after="160"/>
      </w:pPr>
      <w:r>
        <w:rPr>
          <w:rFonts w:ascii="SimHei" w:hAnsi="SimHei" w:eastAsia="黑体"/>
          <w:b/>
          <w:sz w:val="32"/>
        </w:rPr>
        <w:t>三、零度写作：本书的叙事伦理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这部作品最显著的形式特征，是克制。罗兰·巴特称之为"零度写作"：一种剥离了修辞体温的书写。在这里，它体现为三重自我限制。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第一重，是白描。暴力只记录当量、地点与后果，不谴责，不欢呼；条约只记录百分比、投票权与期限，不抒情，不悲愤。这种近乎冷血的客观，恰恰是最有分量的批判——它把批判的权力，交还给了读者。史官只负责把数字写准确，至于这是正义还是暴行，那是读者的事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第二重，是黑箱。书中多处关键转折，不写原因，不写执行者，只写结果。这不是悬念技巧，而是一种史学立场：史官的本分是记录效果，而非追问黑手。黑格尔说密涅瓦的猫头鹰在黄昏起飞，而这部作品的猫头鹰，似乎连黄昏都懒得等——它只记录天黑了，不解释天为什么黑。最高级的惊悚也正在于此：不在"阴谋被揭开"，而在"阴谋永远不揭开"。生活里的大多数黑箱，一辈子都不会打开，这部作品只是把生活的真相原样奉还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需要辨明的是，这种黑箱不是"不可靠叙事"。不可靠叙事是叙述者在说谎，读者以识破谎言为乐；而本书的叙述者从不说谎，它只是沉默。说谎是修辞，沉默是伦理。前者把读者当对手，后者把读者当同行——史官与读者并肩站在深渊边上，一起往下看，谁也不比谁看得更深。这种"有限的全知"，是本书对传统全知视角最深刻的背叛，也是最温柔的背叛：它放弃了全知，却保全了诚实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第三重，是不议论。中国史学自《春秋》以来，有"微言大义"的传统——以一字之褒贬，寓褒贬于书法。而本书是"无言大义"：连微言都省了，只剩编排。它比《春秋》更决绝：孔子好歹还"知其不可而为之"，这部作品的作者，似乎连"拨乱"的念头都放下了。可叹的是，这种彻底的放下，反而让作品获得了一种奇异的力量：当作者什么都不说，读者就什么都听见了。沉默，有时是最大的声音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三重限制背后，是同一个立场：价值无涉。韦伯为社会科学划定的界限，被这部作品推向了极致——它不谴责，不歌颂，不为任何一方辩护。这种"无涉"恰恰是最深的"涉"：当作者拒绝告诉你该怎么想，你就不得不自己想。而自己想出来的结论，比喂到嘴里的沉重得多。</w:t>
      </w:r>
    </w:p>
    <w:p>
      <w:pPr>
        <w:spacing w:before="360" w:after="160"/>
      </w:pPr>
      <w:r>
        <w:rPr>
          <w:rFonts w:ascii="SimHei" w:hAnsi="SimHei" w:eastAsia="黑体"/>
          <w:b/>
          <w:sz w:val="32"/>
        </w:rPr>
        <w:t>四、编年史体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本书的文体，可概括为"架空编年史"。其形式标志有二。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其一，是档案化的时间。每章的标题都像一份档案标签，时间精确到日乃至小时。这种编年体，自《春秋》"元年春王正月"以降，是中国史学两千年的正统。司马光称《资治通鉴》的方法为"删削冗长，举撮机要"——本书做的几乎是同一件事：把时间切成格子，把事件填进格子。不同的是，格子更细，事件更荒诞。但"不议论"这一点，是相通的：史家相信，把事实排好，观点会自己长出来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在小说文体日益向内转的今天，回归编年体是一种意味深长的选择。当代小说越来越沉迷于人心的褶皱——意识流、心理独白、不可靠叙述；而本书反其道而行，向外转，回到最古老的史体，用时间的格子去捕捉事件。这种"复古"不是保守，是激进：它用两千年前的形式，装下了最当代的内容。可叹，形式从不过时，过时的只是我们对形式的耐心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其二，是纪实与荒诞的并置。同一种文体，既容纳政府公报式的冷峻记录，也容纳近乎戏剧的荒诞情节，而语调始终不分裂。这种并置不是缺陷，是它的本质：它记录的，就是一个在纪实与荒诞之间摇摆的时代。可叹的是，这种错乱恰恰是我们的时代感——公报和荒诞，本来就是同一枚硬币的两面。这部作品把这种错乱，酿成了一种文体，姑且称之为"编年史体"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还有一处形式上的大胆：实名制。书中人物多用真实历史人物的姓名，置于虚构的灾难之中。这在叙事学上构成一种"陌生化"（什克洛夫斯基语）：读者对这些人物的既有认知，与虚构情境不断摩擦，迸出双倍的荒诞感。这是一场豪赌——每一次情节转折，都可能撞上读者"他本该如何"的成见。但作者甘愿冒这个风险，因为他要的恰恰是这种质疑：当读者忍不住想"现实中的他不会这样"，质疑本身就完成了作品的使命——它逼你去想，历史的"本该"，到底是谁规定的。</w:t>
      </w:r>
    </w:p>
    <w:p>
      <w:pPr>
        <w:spacing w:before="360" w:after="160"/>
      </w:pPr>
      <w:r>
        <w:rPr>
          <w:rFonts w:ascii="SimHei" w:hAnsi="SimHei" w:eastAsia="黑体"/>
          <w:b/>
          <w:sz w:val="32"/>
        </w:rPr>
        <w:t>五、没有中心的世界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读到第二卷，能感到一种去中心化的气息：世界不再围着任何一个首都转，各国各有各的算盘，各有各的早晨。多极化在书中不是一篇宣言，而是一种日常——当每个权力中心都在为自己的财政报告、援助款与国内事务操心时，多极化就自然发生了。不需要理论，只需要足够多的、各忙各的早晨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与之相应的，是叙事视角的去中心化。书中没有单一主角，镜头在多个权力中心之间移动，近乎一种复调叙事（巴赫金语）的变体：没有主导声部，只有并行的声部。传统小说不敢这么写——没有主角，读者跟谁走？可这部作品偏要证明：历史本来就没有主角，所谓主角，只是史家为方便讲述而设置的叙事支点。当支点被撤掉，读者被迫自己辨认方向，起初会迷路，久了会发现世界的本来面目：没有中心，只有节点；没有主线，只有并行。可叹，我们读了太多有主角的历史，差点忘了历史本身是什么模样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人物处理上，本书同样恪守史家之诚实：从不给配角安排"内心戏"。人物出场，办事，退场，如时间表上的名字。小说家为每个人物配心理活动，是体贴；史家不给，是诚实。真实历史里，绝大多数人本来就没有内心戏。签字就是签字，本身即是全部的历史，不必追问签字时是屈辱还是释然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书中对权力者的描写，也贯穿着去魅的意图。他们首先是计算者，其次才是信念者；首先是程序的执行者，其次才是历史的创造者。书中没有"伟人"——没有人在历史面前是伟大的，只有幸运或不幸的区别。这种去魅不是犬儒，是清醒：把权力者还原为在约束条件下做计算的人，恰恰是对权力最准确的理解。可叹，我们习惯了为权力者写传记、立雕像，差点忘了他们首先是凡人，其次才是名字。</w:t>
      </w:r>
    </w:p>
    <w:p>
      <w:pPr>
        <w:spacing w:before="360" w:after="160"/>
      </w:pPr>
      <w:r>
        <w:rPr>
          <w:rFonts w:ascii="SimHei" w:hAnsi="SimHei" w:eastAsia="黑体"/>
          <w:b/>
          <w:sz w:val="32"/>
        </w:rPr>
        <w:t>六、荒诞：当媒介成为权力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书中有一章，题为《勃列日涅夫在伦敦》，是全书荒诞美学的顶点，也是理解本书政治观的一把钥匙。这里不复述其情节，只拈出它的观念：在一个媒介即权力的时代，权力的更迭不再需要战争公报，一次电视直播就够了。被观看，即被审判；"出演本人"，即最彻底的征服。不需要监狱，不需要处决，只需要一台开着的摄像机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麦克卢汉说"媒介即讯息"，这一章是这句话最冷峻的注脚。德波在《景观社会》中指出，现代权力越来越通过景观来运作——人与人之间的直接关系，被"被观看的关系"所取代。本书的这一章，是景观社会理论最极致的文学注脚：当一次电视直播就能完成权力的更迭，政治就彻底景观化了。而景观化的完成形态，就是"出演本人"——被征服者不再需要改造，只需要配合演出。可叹，这比任何监狱都彻底：监狱关住身体，景观收编灵魂。而更深一层的问题是：为什么是"荒诞"，而不是"阴谋"？阴谋论是大众面对历史时的安慰剂——总得有人负责，总得有个黑手，世界才显得有秩序。这部作品拒绝提供安慰剂。它呈现的世界里，没有黑手，只有直播；没有剧本，只有发生。加缪在《西西弗神话》中写道，荒诞诞生于人的呼唤与世界的沉默相遇之处——而本书的荒诞，比加缪更进一层：连沉默都被直播出去了。可叹，历史的荒诞从来不需要编剧，它只需要一台开着的摄像机，和一群出演本人的演员。</w:t>
      </w:r>
    </w:p>
    <w:p>
      <w:pPr>
        <w:spacing w:before="360" w:after="160"/>
      </w:pPr>
      <w:r>
        <w:rPr>
          <w:rFonts w:ascii="SimHei" w:hAnsi="SimHei" w:eastAsia="黑体"/>
          <w:b/>
          <w:sz w:val="32"/>
        </w:rPr>
        <w:t>七、未完成的史（代结语）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写到这里，这篇导读必须停下来了。不是因为故事讲完了，而是因为故事还没有讲完。第二卷的时间走到1967年春，而它的叙事，在一场清洗的清晨戛然而止——没有总结，没有预言，只有一个睡去的城市。可叹，"戛然而止"恰恰是这部作品最诚实的姿态：它不替历史收束，因为历史从不接受收束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未完成，不是缺陷，是历史书写的常态。司马迁的《史记》写到汉武帝的时代搁笔，后人续之；《资治通鉴》写了十九年，写完的那一刻，历史又已经走远。所有的史书都是未完成的，因为书写永远追不上发生。这篇导读以"未完成"作结，不是取巧，是诚实：它承认自己的边界，正如这部作品承认历史的边界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这篇导读，是站在档案馆门口为后来者写的一张导览图。图上只画了两卷，因为馆里目前只有两卷。但门还开着，灯还亮着——等新的卷宗送到，等1967年之后的故事被写下，这篇导读可以自然地续写下去，在春天之后，接着写下去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司马迁说"成一家之言"，他用"一家"，是因为他知道历史从来不止一家之言。这部作品用一百零九章，写下了属于它的一家之言：一个不相信因果的历史，一个允许断裂的历史，一个让沉默成为最大声音的历史。而这篇导读，不过是为它写的一篇小小的"太史公曰"罢了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历史没有句号，导读也不该有。</w:t>
      </w:r>
    </w:p>
    <w:p>
      <w:pPr>
        <w:spacing w:lineRule="auto" w:line="420" w:after="120"/>
        <w:ind w:firstLine="480"/>
        <w:jc w:val="both"/>
      </w:pPr>
      <w:r>
        <w:rPr>
          <w:rFonts w:ascii="SimSun" w:hAnsi="SimSun" w:eastAsia="宋体"/>
          <w:b w:val="0"/>
          <w:sz w:val="24"/>
        </w:rPr>
        <w:t>（待续）</w:t>
      </w:r>
    </w:p>
    <w:sectPr w:rsidR="00FC693F" w:rsidRPr="0006063C" w:rsidSect="00034616">
      <w:pgSz w:w="12240" w:h="15840"/>
      <w:pgMar w:top="1440" w:right="1600" w:bottom="1440" w:left="16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